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3D8A0" w14:textId="5ED99454" w:rsidR="004C3F07" w:rsidRPr="004C3F07" w:rsidRDefault="004C3F07" w:rsidP="004C3F07">
      <w:pPr>
        <w:pStyle w:val="Title"/>
      </w:pPr>
      <w:r w:rsidRPr="004C3F07">
        <w:t>UW MPO Program Cost Overview </w:t>
      </w:r>
    </w:p>
    <w:p w14:paraId="28FA77B9" w14:textId="77777777" w:rsidR="004C3F07" w:rsidRPr="004C3F07" w:rsidRDefault="004C3F07" w:rsidP="004C3F07">
      <w:r w:rsidRPr="004C3F07">
        <w:rPr>
          <w:rStyle w:val="Heading1Char"/>
          <w:sz w:val="36"/>
          <w:szCs w:val="36"/>
        </w:rPr>
        <w:t>Tuition</w:t>
      </w:r>
      <w:r w:rsidRPr="004C3F07">
        <w:rPr>
          <w:sz w:val="36"/>
          <w:szCs w:val="36"/>
        </w:rPr>
        <w:t>  </w:t>
      </w:r>
      <w:r w:rsidRPr="004C3F07">
        <w:rPr>
          <w:sz w:val="36"/>
          <w:szCs w:val="36"/>
        </w:rPr>
        <w:br/>
      </w:r>
      <w:r w:rsidRPr="004C3F07">
        <w:t>The following information is based on current rates for academic year 2025-2026 only and is meant to provide you with an estimate of costs to attend this program. We advise prospective students to budget a 2% increase in tuition annually.  </w:t>
      </w:r>
    </w:p>
    <w:p w14:paraId="2BCFC8F4" w14:textId="77777777" w:rsidR="004C3F07" w:rsidRPr="004C3F07" w:rsidRDefault="004C3F07" w:rsidP="004C3F07">
      <w:r w:rsidRPr="004C3F07">
        <w:t>MPO program students pay Tier II graduate tuition and fees. Please consult the </w:t>
      </w:r>
      <w:hyperlink r:id="rId4" w:tgtFrame="_blank" w:history="1">
        <w:r w:rsidRPr="004C3F07">
          <w:rPr>
            <w:rStyle w:val="Hyperlink"/>
          </w:rPr>
          <w:t>Graduate Tuition Dashboard</w:t>
        </w:r>
      </w:hyperlink>
      <w:r w:rsidRPr="004C3F07">
        <w:t> for detailed tuition assessment information provided by the University of Washington Office of Planning &amp; Budgeting. Tuition rates for upcoming academic years are generally published in June. Student Fiscal Services at the University of Washington provides an informative </w:t>
      </w:r>
      <w:hyperlink r:id="rId5" w:tgtFrame="_blank" w:history="1">
        <w:r w:rsidRPr="004C3F07">
          <w:rPr>
            <w:rStyle w:val="Hyperlink"/>
          </w:rPr>
          <w:t>tuition overview</w:t>
        </w:r>
      </w:hyperlink>
      <w:r w:rsidRPr="004C3F07">
        <w:t>, including rates.  </w:t>
      </w:r>
    </w:p>
    <w:p w14:paraId="5D5CFCD3" w14:textId="77777777" w:rsidR="004C3F07" w:rsidRPr="004C3F07" w:rsidRDefault="004C3F07" w:rsidP="004C3F07">
      <w:r w:rsidRPr="004C3F07">
        <w:t>The MPO Program runs in-person for seven consecutive quarters (two academic years, each year including Fall, Winter and Spring quarters, with a </w:t>
      </w:r>
      <w:proofErr w:type="gramStart"/>
      <w:r w:rsidRPr="004C3F07">
        <w:t>Summer</w:t>
      </w:r>
      <w:proofErr w:type="gramEnd"/>
      <w:r w:rsidRPr="004C3F07">
        <w:t> quarter in between).  </w:t>
      </w:r>
    </w:p>
    <w:p w14:paraId="535C0FBB" w14:textId="77777777" w:rsidR="004C3F07" w:rsidRPr="004C3F07" w:rsidRDefault="004C3F07" w:rsidP="004C3F07">
      <w:r w:rsidRPr="004C3F07">
        <w:t>Current </w:t>
      </w:r>
      <w:r w:rsidRPr="004C3F07">
        <w:rPr>
          <w:u w:val="single"/>
        </w:rPr>
        <w:t>nonresident</w:t>
      </w:r>
      <w:r w:rsidRPr="004C3F07">
        <w:t> tuition per quarter is </w:t>
      </w:r>
      <w:r w:rsidRPr="004C3F07">
        <w:rPr>
          <w:b/>
          <w:bCs/>
        </w:rPr>
        <w:t>$11,753</w:t>
      </w:r>
      <w:r w:rsidRPr="004C3F07">
        <w:t>. At that rate, tuition </w:t>
      </w:r>
      <w:proofErr w:type="gramStart"/>
      <w:r w:rsidRPr="004C3F07">
        <w:t>only</w:t>
      </w:r>
      <w:proofErr w:type="gramEnd"/>
      <w:r w:rsidRPr="004C3F07">
        <w:t> for nonresident students for the duration of the program is </w:t>
      </w:r>
      <w:r w:rsidRPr="004C3F07">
        <w:rPr>
          <w:b/>
          <w:bCs/>
        </w:rPr>
        <w:t>$82,271</w:t>
      </w:r>
      <w:r w:rsidRPr="004C3F07">
        <w:t>.  </w:t>
      </w:r>
    </w:p>
    <w:p w14:paraId="0DD4540D" w14:textId="77777777" w:rsidR="004C3F07" w:rsidRPr="004C3F07" w:rsidRDefault="004C3F07" w:rsidP="004C3F07">
      <w:r w:rsidRPr="004C3F07">
        <w:t>Current </w:t>
      </w:r>
      <w:r w:rsidRPr="004C3F07">
        <w:rPr>
          <w:u w:val="single"/>
        </w:rPr>
        <w:t>resident</w:t>
      </w:r>
      <w:r w:rsidRPr="004C3F07">
        <w:t> tuition per quarter is </w:t>
      </w:r>
      <w:r w:rsidRPr="004C3F07">
        <w:rPr>
          <w:b/>
          <w:bCs/>
        </w:rPr>
        <w:t>$6,751</w:t>
      </w:r>
      <w:r w:rsidRPr="004C3F07">
        <w:t>. At that rate, tuition </w:t>
      </w:r>
      <w:proofErr w:type="gramStart"/>
      <w:r w:rsidRPr="004C3F07">
        <w:t>only</w:t>
      </w:r>
      <w:proofErr w:type="gramEnd"/>
      <w:r w:rsidRPr="004C3F07">
        <w:t> for resident students for the duration of the program is </w:t>
      </w:r>
      <w:r w:rsidRPr="004C3F07">
        <w:rPr>
          <w:b/>
          <w:bCs/>
        </w:rPr>
        <w:t>$47,257</w:t>
      </w:r>
      <w:r w:rsidRPr="004C3F07">
        <w:t>.  </w:t>
      </w:r>
    </w:p>
    <w:p w14:paraId="25A92568" w14:textId="6834CE56" w:rsidR="004C3F07" w:rsidRPr="004C3F07" w:rsidRDefault="004C3F07" w:rsidP="004C3F07">
      <w:r w:rsidRPr="004C3F07">
        <w:rPr>
          <w:rStyle w:val="Heading1Char"/>
          <w:sz w:val="36"/>
          <w:szCs w:val="36"/>
        </w:rPr>
        <w:t>Additional Program Expenses (subject to change)</w:t>
      </w:r>
      <w:r w:rsidRPr="004C3F07">
        <w:rPr>
          <w:b/>
          <w:bCs/>
        </w:rPr>
        <w:t> </w:t>
      </w:r>
      <w:r w:rsidRPr="004C3F07">
        <w:t> </w:t>
      </w:r>
      <w:r w:rsidRPr="004C3F07">
        <w:br/>
        <w:t>Enrollment Confirmation Deposit (paid during online acceptance process): </w:t>
      </w:r>
      <w:r w:rsidRPr="004C3F07">
        <w:rPr>
          <w:b/>
          <w:bCs/>
        </w:rPr>
        <w:t>$250</w:t>
      </w:r>
      <w:r w:rsidRPr="004C3F07">
        <w:t>  </w:t>
      </w:r>
      <w:r w:rsidRPr="004C3F07">
        <w:br/>
        <w:t>This deposit is assessed and collected by the University of Washington, not the Prosthetics-Orthotics Program. The deposit is applied toward your first quarter tuition and fees.  </w:t>
      </w:r>
    </w:p>
    <w:p w14:paraId="519AC978" w14:textId="77777777" w:rsidR="004C3F07" w:rsidRDefault="004C3F07" w:rsidP="004C3F07">
      <w:r w:rsidRPr="004C3F07">
        <w:t>Pre-enrollment background check: </w:t>
      </w:r>
      <w:r w:rsidRPr="004C3F07">
        <w:rPr>
          <w:b/>
          <w:bCs/>
        </w:rPr>
        <w:t>$54 + $2.99</w:t>
      </w:r>
      <w:r w:rsidRPr="004C3F07">
        <w:t xml:space="preserve"> service fee </w:t>
      </w:r>
    </w:p>
    <w:p w14:paraId="650CC079" w14:textId="2B297143" w:rsidR="004C3F07" w:rsidRPr="004C3F07" w:rsidRDefault="004C3F07" w:rsidP="004C3F07">
      <w:r w:rsidRPr="004C3F07">
        <w:t>Health Science Immunization Program (HSIP) administrative fee:</w:t>
      </w:r>
      <w:r>
        <w:t xml:space="preserve"> c</w:t>
      </w:r>
      <w:r w:rsidRPr="004C3F07">
        <w:t>urrently </w:t>
      </w:r>
      <w:r w:rsidRPr="004C3F07">
        <w:rPr>
          <w:b/>
          <w:bCs/>
        </w:rPr>
        <w:t>$72</w:t>
      </w:r>
      <w:r w:rsidRPr="004C3F07">
        <w:t> annually, </w:t>
      </w:r>
      <w:r w:rsidRPr="004C3F07">
        <w:rPr>
          <w:b/>
          <w:bCs/>
        </w:rPr>
        <w:t>$144</w:t>
      </w:r>
      <w:r w:rsidRPr="004C3F07">
        <w:t> total.  </w:t>
      </w:r>
    </w:p>
    <w:p w14:paraId="3540DCEA" w14:textId="77777777" w:rsidR="004C3F07" w:rsidRPr="004C3F07" w:rsidRDefault="004C3F07" w:rsidP="004C3F07">
      <w:r w:rsidRPr="004C3F07">
        <w:t>One-time HSIP immunization account set-up: </w:t>
      </w:r>
      <w:r w:rsidRPr="004C3F07">
        <w:rPr>
          <w:b/>
          <w:bCs/>
        </w:rPr>
        <w:t>$24</w:t>
      </w:r>
      <w:r w:rsidRPr="004C3F07">
        <w:t>  </w:t>
      </w:r>
    </w:p>
    <w:p w14:paraId="1467D99F" w14:textId="77777777" w:rsidR="004C3F07" w:rsidRPr="004C3F07" w:rsidRDefault="004C3F07" w:rsidP="004C3F07">
      <w:r w:rsidRPr="004C3F07">
        <w:t>Basic adult CPR training: variable cost  </w:t>
      </w:r>
    </w:p>
    <w:p w14:paraId="6F146FB7" w14:textId="77777777" w:rsidR="004C3F07" w:rsidRPr="004C3F07" w:rsidRDefault="004C3F07" w:rsidP="004C3F07">
      <w:r w:rsidRPr="004C3F07">
        <w:t>Embroidered program lab coat: approximately </w:t>
      </w:r>
      <w:r w:rsidRPr="004C3F07">
        <w:rPr>
          <w:b/>
          <w:bCs/>
        </w:rPr>
        <w:t>$35.00 to $40.00</w:t>
      </w:r>
      <w:r w:rsidRPr="004C3F07">
        <w:t> depending on style.  </w:t>
      </w:r>
    </w:p>
    <w:p w14:paraId="7E0EC034" w14:textId="77777777" w:rsidR="004C3F07" w:rsidRPr="004C3F07" w:rsidRDefault="004C3F07" w:rsidP="004C3F07">
      <w:r w:rsidRPr="004C3F07">
        <w:t xml:space="preserve">Lab fees are assessed over the seven quarters of the program and are used for instruction related materials, supplies, and equipment, as well as non-personnel costs associated </w:t>
      </w:r>
      <w:r w:rsidRPr="004C3F07">
        <w:lastRenderedPageBreak/>
        <w:t>with technology, and related costs of set-up, maintenance, and cleaning for materials, supplies, and equipment. Current year one fees: </w:t>
      </w:r>
      <w:r w:rsidRPr="004C3F07">
        <w:rPr>
          <w:b/>
          <w:bCs/>
        </w:rPr>
        <w:t>$2325</w:t>
      </w:r>
      <w:r w:rsidRPr="004C3F07">
        <w:t>. Current year two fees: </w:t>
      </w:r>
      <w:r w:rsidRPr="004C3F07">
        <w:rPr>
          <w:b/>
          <w:bCs/>
        </w:rPr>
        <w:t>$2500</w:t>
      </w:r>
      <w:r w:rsidRPr="004C3F07">
        <w:t>.  </w:t>
      </w:r>
    </w:p>
    <w:p w14:paraId="16F08D7E" w14:textId="77777777" w:rsidR="004C3F07" w:rsidRPr="004C3F07" w:rsidRDefault="004C3F07" w:rsidP="004C3F07">
      <w:r w:rsidRPr="004C3F07">
        <w:t>Books, tools, supplies: estimated at </w:t>
      </w:r>
      <w:r w:rsidRPr="004C3F07">
        <w:rPr>
          <w:b/>
          <w:bCs/>
        </w:rPr>
        <w:t>$1500</w:t>
      </w:r>
      <w:r w:rsidRPr="004C3F07">
        <w:t>.  </w:t>
      </w:r>
    </w:p>
    <w:p w14:paraId="2570E554" w14:textId="77777777" w:rsidR="004C3F07" w:rsidRPr="004C3F07" w:rsidRDefault="004C3F07" w:rsidP="004C3F07">
      <w:r w:rsidRPr="004C3F07">
        <w:rPr>
          <w:rStyle w:val="Heading1Char"/>
          <w:sz w:val="36"/>
          <w:szCs w:val="36"/>
        </w:rPr>
        <w:t>Technology Requirements</w:t>
      </w:r>
      <w:r w:rsidRPr="004C3F07">
        <w:t>  </w:t>
      </w:r>
      <w:r w:rsidRPr="004C3F07">
        <w:br/>
        <w:t>Students are responsible for meeting the technology requirements for personal devices and internet access to successfully participate in courses. This includes accessing and using the Canvas course webpage, accessing course materials, and effectively participating when courses are virtual. It is the student's responsibility to ensure these requirements are met prior to the start of the quarter. Students are responsible for having access to </w:t>
      </w:r>
      <w:r w:rsidRPr="004C3F07">
        <w:rPr>
          <w:b/>
          <w:bCs/>
        </w:rPr>
        <w:t>1)</w:t>
      </w:r>
      <w:r w:rsidRPr="004C3F07">
        <w:t> a computer that can run a current version of a major Web browser, such as Chrome, Safari or Firefox and </w:t>
      </w:r>
      <w:r w:rsidRPr="004C3F07">
        <w:rPr>
          <w:b/>
          <w:bCs/>
        </w:rPr>
        <w:t>2)</w:t>
      </w:r>
      <w:r w:rsidRPr="004C3F07">
        <w:t> reliable high-speed Internet connection (cable or DSL recommended). Please visit the </w:t>
      </w:r>
      <w:hyperlink r:id="rId6" w:tgtFrame="_blank" w:history="1">
        <w:r w:rsidRPr="004C3F07">
          <w:rPr>
            <w:rStyle w:val="Hyperlink"/>
          </w:rPr>
          <w:t>UW IT website</w:t>
        </w:r>
      </w:hyperlink>
      <w:r w:rsidRPr="004C3F07">
        <w:t> for resources and information. </w:t>
      </w:r>
    </w:p>
    <w:p w14:paraId="771A9716" w14:textId="77777777" w:rsidR="004C3F07" w:rsidRPr="004C3F07" w:rsidRDefault="004C3F07" w:rsidP="004C3F07">
      <w:r w:rsidRPr="004C3F07">
        <w:rPr>
          <w:rStyle w:val="Heading1Char"/>
          <w:sz w:val="36"/>
          <w:szCs w:val="36"/>
        </w:rPr>
        <w:t>Travel-related costs</w:t>
      </w:r>
      <w:r w:rsidRPr="004C3F07">
        <w:rPr>
          <w:b/>
          <w:bCs/>
        </w:rPr>
        <w:t> </w:t>
      </w:r>
      <w:r w:rsidRPr="004C3F07">
        <w:t> </w:t>
      </w:r>
      <w:r w:rsidRPr="004C3F07">
        <w:br/>
      </w:r>
      <w:r w:rsidRPr="004C3F07">
        <w:rPr>
          <w:i/>
          <w:iCs/>
        </w:rPr>
        <w:t>Quarterly clinical rotations</w:t>
      </w:r>
      <w:r w:rsidRPr="004C3F07">
        <w:t>. These rotations are a core requirement of the program. Students travel to assigned sites one day per week for the final four quarters of the program, rotating at a different site each quarter. Although most rotation sites are located within 35 miles of the University of Washington, students should anticipate the possibility of being placed at sites up to 60 miles away. It is the expectation of the program that students will be responsible for their own transportation to clinical sites and be prepared to arrange transportation using modes such as public transportation, care shares, rideshares, and personal vehicles.  </w:t>
      </w:r>
    </w:p>
    <w:p w14:paraId="52232373" w14:textId="77777777" w:rsidR="004C3F07" w:rsidRPr="004C3F07" w:rsidRDefault="004C3F07" w:rsidP="004C3F07">
      <w:r w:rsidRPr="004C3F07">
        <w:rPr>
          <w:i/>
          <w:iCs/>
        </w:rPr>
        <w:t>Interim rotations</w:t>
      </w:r>
      <w:r w:rsidRPr="004C3F07">
        <w:t>. In addition to quarterly clinical rotations, students are required to complete interim rotations. Interim rotations occur between summer and fall quarters over a two-week timeframe that is mutually agreed upon by the student and the clinical site. While a student’s interest in a particular clinic is the primary placement factor, students are encouraged to identify locations that can be reached without creating undue financial or travel burdens for them, such as in the vicinity of their own hometowns or those of friends or relatives with whom they can stay. Students are welcome to explore potential interim rotations in any location but need to be aware that they will be responsible for any travel and lodging costs.  </w:t>
      </w:r>
    </w:p>
    <w:p w14:paraId="2913C161" w14:textId="77777777" w:rsidR="004C3F07" w:rsidRPr="004C3F07" w:rsidRDefault="004C3F07" w:rsidP="004C3F07">
      <w:r w:rsidRPr="004C3F07">
        <w:rPr>
          <w:i/>
          <w:iCs/>
        </w:rPr>
        <w:t>Residency interviews</w:t>
      </w:r>
      <w:r w:rsidRPr="004C3F07">
        <w:t>. Although not a program-related cost, students should be aware that some travel costs might arise as they conduct residency interviews in their second year of the program.  </w:t>
      </w:r>
    </w:p>
    <w:p w14:paraId="3EE07D8E" w14:textId="7D64FC4F" w:rsidR="004C3F07" w:rsidRDefault="004C3F07">
      <w:r w:rsidRPr="004C3F07">
        <w:t> </w:t>
      </w:r>
    </w:p>
    <w:sectPr w:rsidR="004C3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07"/>
    <w:rsid w:val="004120CF"/>
    <w:rsid w:val="004C3F07"/>
    <w:rsid w:val="008400B7"/>
    <w:rsid w:val="00DB5550"/>
    <w:rsid w:val="00FE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5CAC6"/>
  <w15:chartTrackingRefBased/>
  <w15:docId w15:val="{A3F77E6C-BBCA-451B-8A64-23E879B9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3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3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3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3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3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3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3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3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3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3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F07"/>
    <w:rPr>
      <w:rFonts w:eastAsiaTheme="majorEastAsia" w:cstheme="majorBidi"/>
      <w:color w:val="272727" w:themeColor="text1" w:themeTint="D8"/>
    </w:rPr>
  </w:style>
  <w:style w:type="paragraph" w:styleId="Title">
    <w:name w:val="Title"/>
    <w:basedOn w:val="Normal"/>
    <w:next w:val="Normal"/>
    <w:link w:val="TitleChar"/>
    <w:uiPriority w:val="10"/>
    <w:qFormat/>
    <w:rsid w:val="004C3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F07"/>
    <w:pPr>
      <w:spacing w:before="160"/>
      <w:jc w:val="center"/>
    </w:pPr>
    <w:rPr>
      <w:i/>
      <w:iCs/>
      <w:color w:val="404040" w:themeColor="text1" w:themeTint="BF"/>
    </w:rPr>
  </w:style>
  <w:style w:type="character" w:customStyle="1" w:styleId="QuoteChar">
    <w:name w:val="Quote Char"/>
    <w:basedOn w:val="DefaultParagraphFont"/>
    <w:link w:val="Quote"/>
    <w:uiPriority w:val="29"/>
    <w:rsid w:val="004C3F07"/>
    <w:rPr>
      <w:i/>
      <w:iCs/>
      <w:color w:val="404040" w:themeColor="text1" w:themeTint="BF"/>
    </w:rPr>
  </w:style>
  <w:style w:type="paragraph" w:styleId="ListParagraph">
    <w:name w:val="List Paragraph"/>
    <w:basedOn w:val="Normal"/>
    <w:uiPriority w:val="34"/>
    <w:qFormat/>
    <w:rsid w:val="004C3F07"/>
    <w:pPr>
      <w:ind w:left="720"/>
      <w:contextualSpacing/>
    </w:pPr>
  </w:style>
  <w:style w:type="character" w:styleId="IntenseEmphasis">
    <w:name w:val="Intense Emphasis"/>
    <w:basedOn w:val="DefaultParagraphFont"/>
    <w:uiPriority w:val="21"/>
    <w:qFormat/>
    <w:rsid w:val="004C3F07"/>
    <w:rPr>
      <w:i/>
      <w:iCs/>
      <w:color w:val="0F4761" w:themeColor="accent1" w:themeShade="BF"/>
    </w:rPr>
  </w:style>
  <w:style w:type="paragraph" w:styleId="IntenseQuote">
    <w:name w:val="Intense Quote"/>
    <w:basedOn w:val="Normal"/>
    <w:next w:val="Normal"/>
    <w:link w:val="IntenseQuoteChar"/>
    <w:uiPriority w:val="30"/>
    <w:qFormat/>
    <w:rsid w:val="004C3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3F07"/>
    <w:rPr>
      <w:i/>
      <w:iCs/>
      <w:color w:val="0F4761" w:themeColor="accent1" w:themeShade="BF"/>
    </w:rPr>
  </w:style>
  <w:style w:type="character" w:styleId="IntenseReference">
    <w:name w:val="Intense Reference"/>
    <w:basedOn w:val="DefaultParagraphFont"/>
    <w:uiPriority w:val="32"/>
    <w:qFormat/>
    <w:rsid w:val="004C3F07"/>
    <w:rPr>
      <w:b/>
      <w:bCs/>
      <w:smallCaps/>
      <w:color w:val="0F4761" w:themeColor="accent1" w:themeShade="BF"/>
      <w:spacing w:val="5"/>
    </w:rPr>
  </w:style>
  <w:style w:type="character" w:styleId="Hyperlink">
    <w:name w:val="Hyperlink"/>
    <w:basedOn w:val="DefaultParagraphFont"/>
    <w:uiPriority w:val="99"/>
    <w:unhideWhenUsed/>
    <w:rsid w:val="004C3F07"/>
    <w:rPr>
      <w:color w:val="467886" w:themeColor="hyperlink"/>
      <w:u w:val="single"/>
    </w:rPr>
  </w:style>
  <w:style w:type="character" w:styleId="UnresolvedMention">
    <w:name w:val="Unresolved Mention"/>
    <w:basedOn w:val="DefaultParagraphFont"/>
    <w:uiPriority w:val="99"/>
    <w:semiHidden/>
    <w:unhideWhenUsed/>
    <w:rsid w:val="004C3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uw.edu/" TargetMode="External"/><Relationship Id="rId5" Type="http://schemas.openxmlformats.org/officeDocument/2006/relationships/hyperlink" Target="https://finance.uw.edu/sfs/tuition-fees/tuition-overview" TargetMode="External"/><Relationship Id="rId4" Type="http://schemas.openxmlformats.org/officeDocument/2006/relationships/hyperlink" Target="https://www.washington.edu/opb/tuition-fees/current-tuition-and-fees-dashboards/graduate-tuition-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674</Words>
  <Characters>3814</Characters>
  <Application>Microsoft Office Word</Application>
  <DocSecurity>0</DocSecurity>
  <Lines>63</Lines>
  <Paragraphs>18</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S. Corrin</dc:creator>
  <cp:keywords/>
  <dc:description/>
  <cp:lastModifiedBy>Victoria S. Corrin</cp:lastModifiedBy>
  <cp:revision>4</cp:revision>
  <dcterms:created xsi:type="dcterms:W3CDTF">2025-12-02T21:47:00Z</dcterms:created>
  <dcterms:modified xsi:type="dcterms:W3CDTF">2025-12-02T22:56:00Z</dcterms:modified>
</cp:coreProperties>
</file>